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CF187" w14:textId="77777777" w:rsidR="004E38E9" w:rsidRDefault="004E38E9" w:rsidP="004E38E9">
      <w:pPr>
        <w:pStyle w:val="Heading1"/>
        <w:spacing w:before="360"/>
        <w:rPr>
          <w:rFonts w:cstheme="majorHAnsi"/>
          <w:color w:val="754A9A"/>
          <w:sz w:val="24"/>
          <w:szCs w:val="40"/>
        </w:rPr>
      </w:pPr>
      <w:r>
        <w:rPr>
          <w:noProof/>
          <w:lang w:eastAsia="en-US"/>
        </w:rPr>
        <w:drawing>
          <wp:inline distT="0" distB="0" distL="0" distR="0" wp14:anchorId="3118EC4F" wp14:editId="242E4FFE">
            <wp:extent cx="2415396" cy="584879"/>
            <wp:effectExtent l="0" t="0" r="4445" b="5715"/>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2427533" cy="587818"/>
                    </a:xfrm>
                    <a:prstGeom prst="rect">
                      <a:avLst/>
                    </a:prstGeom>
                    <a:noFill/>
                    <a:ln>
                      <a:noFill/>
                    </a:ln>
                  </pic:spPr>
                </pic:pic>
              </a:graphicData>
            </a:graphic>
          </wp:inline>
        </w:drawing>
      </w:r>
      <w:r w:rsidRPr="009032CF">
        <w:rPr>
          <w:rFonts w:cstheme="majorHAnsi"/>
          <w:color w:val="754A9A"/>
          <w:sz w:val="24"/>
          <w:szCs w:val="40"/>
        </w:rPr>
        <w:t xml:space="preserve"> </w:t>
      </w:r>
    </w:p>
    <w:p w14:paraId="0B3AA21C" w14:textId="77777777" w:rsidR="008628B1" w:rsidRDefault="008628B1" w:rsidP="004E38E9"/>
    <w:p w14:paraId="6369CC62" w14:textId="3F7B8B81" w:rsidR="004E38E9" w:rsidRPr="008653F9" w:rsidRDefault="00A64DBE" w:rsidP="004E38E9">
      <w:pPr>
        <w:rPr>
          <w:i/>
        </w:rPr>
      </w:pPr>
      <w:r w:rsidRPr="008653F9">
        <w:rPr>
          <w:i/>
        </w:rPr>
        <w:t>TxOffice-</w:t>
      </w:r>
      <w:r w:rsidR="004E38E9" w:rsidRPr="008653F9">
        <w:rPr>
          <w:i/>
        </w:rPr>
        <w:t>ADS is clinically focused software developed to meet the needs of Adult Day Services and customized to address specific state regulatory requirements.</w:t>
      </w:r>
    </w:p>
    <w:p w14:paraId="6CD2BEFD" w14:textId="77777777" w:rsidR="005E37EF" w:rsidRDefault="005E37EF" w:rsidP="005E37EF">
      <w:pPr>
        <w:rPr>
          <w:b/>
          <w:sz w:val="36"/>
        </w:rPr>
      </w:pPr>
      <w:r w:rsidRPr="008628B1">
        <w:rPr>
          <w:b/>
          <w:sz w:val="36"/>
        </w:rPr>
        <w:t>ABOUT NUVELOX</w:t>
      </w:r>
    </w:p>
    <w:p w14:paraId="6BF5E59F" w14:textId="77777777" w:rsidR="005E37EF" w:rsidRDefault="005E37EF" w:rsidP="005E37EF">
      <w:r>
        <w:t xml:space="preserve">An </w:t>
      </w:r>
      <w:r w:rsidRPr="005823DF">
        <w:t>occupational therapist</w:t>
      </w:r>
      <w:r>
        <w:t xml:space="preserve"> </w:t>
      </w:r>
      <w:r w:rsidRPr="005823DF">
        <w:t>and a social scientist</w:t>
      </w:r>
      <w:r>
        <w:t xml:space="preserve"> working with Adult Day Services agencies in Washington State realized the need for a customizable, structured-data application that could be used by organizations of any size — from single to multiple site centers — in the </w:t>
      </w:r>
      <w:r w:rsidRPr="00191F8C">
        <w:t>home and community-based long-term services</w:t>
      </w:r>
      <w:r>
        <w:t xml:space="preserve"> </w:t>
      </w:r>
      <w:r w:rsidRPr="00191F8C">
        <w:t>and supports</w:t>
      </w:r>
      <w:r>
        <w:t xml:space="preserve"> (HCBS) community. </w:t>
      </w:r>
    </w:p>
    <w:p w14:paraId="5376EC63" w14:textId="77777777" w:rsidR="005E37EF" w:rsidRDefault="005E37EF" w:rsidP="005E37EF">
      <w:r>
        <w:t xml:space="preserve">They partnered with a systems engineer to develop a program in which data could be easily </w:t>
      </w:r>
      <w:r w:rsidRPr="005823DF">
        <w:t>entere</w:t>
      </w:r>
      <w:r>
        <w:t xml:space="preserve">d, stored, queried and analyzed by all stakeholders — from physicians to dieticians to administrators — and could be tailored to meet the requirements of individual states. </w:t>
      </w:r>
    </w:p>
    <w:p w14:paraId="145773E6" w14:textId="7E48EFB3" w:rsidR="005E37EF" w:rsidRDefault="005E37EF" w:rsidP="005E37EF">
      <w:r>
        <w:t xml:space="preserve">But before a single line of code was written, they asked their colleagues a lot of basic questions. What are you using now? What’s working? What isn’t? What would you like most to see? What do you need to meet the requirements of your state? Then they drilled down into specifics. </w:t>
      </w:r>
      <w:r w:rsidR="00895689">
        <w:t xml:space="preserve">Details related to the many and diverse diagnoses and conditions seen in Adult Day Health needed to be captured in the structured data.  Required timetables for medical and government reporting were analyzed. Efficient </w:t>
      </w:r>
      <w:r w:rsidR="006A3845">
        <w:t xml:space="preserve">entry </w:t>
      </w:r>
      <w:r w:rsidR="00895689">
        <w:t xml:space="preserve">operations </w:t>
      </w:r>
      <w:r w:rsidR="006A3845">
        <w:t xml:space="preserve">and custom reports </w:t>
      </w:r>
      <w:r w:rsidR="00895689">
        <w:t>were needed</w:t>
      </w:r>
      <w:r w:rsidR="006A3845">
        <w:t xml:space="preserve"> to pull it all together in one user friendly package.</w:t>
      </w:r>
    </w:p>
    <w:p w14:paraId="7A06018A" w14:textId="2B807B5E" w:rsidR="005E37EF" w:rsidRPr="00A87C4B" w:rsidRDefault="005E37EF" w:rsidP="005E37EF">
      <w:r>
        <w:t>It took trail and error, and a considerable amount of listening and responding, to get the program where they wanted it. In 2010, Nuvelox initiated a project with Seattle-</w:t>
      </w:r>
      <w:r w:rsidRPr="001B4F14">
        <w:t>based Full Life Care, an award</w:t>
      </w:r>
      <w:r w:rsidR="00B40BC3">
        <w:t>-</w:t>
      </w:r>
      <w:r w:rsidRPr="001B4F14">
        <w:t>winning non-profit Adult Day Services organization</w:t>
      </w:r>
      <w:r>
        <w:t>. In 2013, Nuvelox launched</w:t>
      </w:r>
      <w:r w:rsidRPr="00A87C4B">
        <w:t xml:space="preserve"> TxOffice-ADS </w:t>
      </w:r>
      <w:r>
        <w:t>at four Full Life Care ADS sites. It is a s</w:t>
      </w:r>
      <w:r w:rsidRPr="00A87C4B">
        <w:t>cala</w:t>
      </w:r>
      <w:r>
        <w:t>ble, highly customizable, cloud-based software system</w:t>
      </w:r>
      <w:r w:rsidRPr="00A87C4B">
        <w:t xml:space="preserve"> with integrated security and user access that is </w:t>
      </w:r>
      <w:r w:rsidR="00B40BC3" w:rsidRPr="00A87C4B">
        <w:t>HIP</w:t>
      </w:r>
      <w:r w:rsidR="00B40BC3">
        <w:t>A</w:t>
      </w:r>
      <w:r w:rsidR="00B40BC3" w:rsidRPr="00A87C4B">
        <w:t xml:space="preserve">A </w:t>
      </w:r>
      <w:r w:rsidRPr="00A87C4B">
        <w:t>compliant</w:t>
      </w:r>
      <w:r>
        <w:t>.</w:t>
      </w:r>
    </w:p>
    <w:p w14:paraId="5375F3CF" w14:textId="77777777" w:rsidR="005E37EF" w:rsidRDefault="005E37EF" w:rsidP="005E37EF">
      <w:r>
        <w:lastRenderedPageBreak/>
        <w:t>Since then, Nuvelox’ partners have been listening, adapting and customizing the software for additional clients of all sizes in multiple states. Here’s what distinguishes the Nuvelox solution from the software of other providers:</w:t>
      </w:r>
    </w:p>
    <w:p w14:paraId="6F171C98" w14:textId="77777777" w:rsidR="005E37EF" w:rsidRDefault="005E37EF" w:rsidP="005E37EF">
      <w:pPr>
        <w:pStyle w:val="ListParagraph"/>
        <w:numPr>
          <w:ilvl w:val="0"/>
          <w:numId w:val="1"/>
        </w:numPr>
      </w:pPr>
      <w:r>
        <w:t>TxOffice-ADS was developed specifically for Adult Day Services centers, and we serve the HCBS community exclusively.</w:t>
      </w:r>
    </w:p>
    <w:p w14:paraId="64B0EF99" w14:textId="3A5E406D" w:rsidR="005E37EF" w:rsidRDefault="005E37EF" w:rsidP="005E37EF">
      <w:pPr>
        <w:pStyle w:val="ListParagraph"/>
        <w:numPr>
          <w:ilvl w:val="0"/>
          <w:numId w:val="1"/>
        </w:numPr>
      </w:pPr>
      <w:r>
        <w:t>The program is easily learned and integrates notes and reports from all team members — physicians, nurses, therapists, social workers and mental health professionals. It also tracks all necessary fields such as attendance, meals, medication schedules and special needs.</w:t>
      </w:r>
    </w:p>
    <w:p w14:paraId="72E4AE80" w14:textId="77777777" w:rsidR="005E37EF" w:rsidRDefault="005E37EF" w:rsidP="005E37EF">
      <w:pPr>
        <w:pStyle w:val="ListParagraph"/>
        <w:numPr>
          <w:ilvl w:val="0"/>
          <w:numId w:val="1"/>
        </w:numPr>
      </w:pPr>
      <w:r>
        <w:t>Forms and reports can be customized to fit the needs of individual centers, whether it’s based on a</w:t>
      </w:r>
      <w:r w:rsidRPr="00BF08AD">
        <w:rPr>
          <w:b/>
        </w:rPr>
        <w:t xml:space="preserve"> </w:t>
      </w:r>
      <w:r w:rsidRPr="00BF08AD">
        <w:t>medical model or a social model,</w:t>
      </w:r>
      <w:r>
        <w:rPr>
          <w:b/>
        </w:rPr>
        <w:t xml:space="preserve"> </w:t>
      </w:r>
      <w:r>
        <w:t>and overall research and development is ongoing.</w:t>
      </w:r>
    </w:p>
    <w:p w14:paraId="4A07503F" w14:textId="77777777" w:rsidR="005E37EF" w:rsidRPr="001B4F14" w:rsidRDefault="005E37EF" w:rsidP="005E37EF">
      <w:pPr>
        <w:pStyle w:val="ListParagraph"/>
        <w:numPr>
          <w:ilvl w:val="0"/>
          <w:numId w:val="1"/>
        </w:numPr>
      </w:pPr>
      <w:r>
        <w:t>TxOffice-ADS is rich in features and low in cost.</w:t>
      </w:r>
    </w:p>
    <w:p w14:paraId="159E6285" w14:textId="77777777" w:rsidR="005E37EF" w:rsidRDefault="005E37EF" w:rsidP="005E37EF">
      <w:r>
        <w:t>Please contact us here [link to form] to talk about what we can create for you, or to arrange for a demo of TxOffice-ADS.</w:t>
      </w:r>
    </w:p>
    <w:p w14:paraId="783655CA" w14:textId="77777777" w:rsidR="004E38E9" w:rsidRDefault="004E38E9" w:rsidP="004E38E9">
      <w:pPr>
        <w:rPr>
          <w:b/>
        </w:rPr>
      </w:pPr>
    </w:p>
    <w:p w14:paraId="57861F8A" w14:textId="77777777" w:rsidR="004E38E9" w:rsidRPr="004E38E9" w:rsidRDefault="004E38E9" w:rsidP="004E38E9">
      <w:pPr>
        <w:rPr>
          <w:b/>
        </w:rPr>
      </w:pPr>
      <w:r w:rsidRPr="004E38E9">
        <w:rPr>
          <w:b/>
        </w:rPr>
        <w:t>Key features and sections</w:t>
      </w:r>
    </w:p>
    <w:p w14:paraId="4F74E665" w14:textId="77777777" w:rsidR="004E38E9" w:rsidRPr="004E38E9" w:rsidRDefault="004E38E9" w:rsidP="004E38E9">
      <w:pPr>
        <w:pStyle w:val="ListParagraph"/>
        <w:numPr>
          <w:ilvl w:val="0"/>
          <w:numId w:val="3"/>
        </w:numPr>
      </w:pPr>
      <w:r w:rsidRPr="004E38E9">
        <w:t>Scalable cloud-based Software as a Service (SaaS) with secure daily backups</w:t>
      </w:r>
      <w:r w:rsidR="00B40BC3">
        <w:t>.</w:t>
      </w:r>
    </w:p>
    <w:p w14:paraId="52B794CB" w14:textId="77777777" w:rsidR="004E38E9" w:rsidRPr="004E38E9" w:rsidRDefault="004E38E9" w:rsidP="004E38E9">
      <w:pPr>
        <w:pStyle w:val="ListParagraph"/>
        <w:numPr>
          <w:ilvl w:val="0"/>
          <w:numId w:val="3"/>
        </w:numPr>
      </w:pPr>
      <w:r w:rsidRPr="004E38E9">
        <w:t>Integrated security and user access levels for single and multi-site Adult Day Service Centers</w:t>
      </w:r>
      <w:r w:rsidR="00B40BC3">
        <w:t>.</w:t>
      </w:r>
    </w:p>
    <w:p w14:paraId="67D4235C" w14:textId="7B09970B" w:rsidR="004E38E9" w:rsidRPr="004E38E9" w:rsidRDefault="004E38E9" w:rsidP="004E38E9">
      <w:pPr>
        <w:pStyle w:val="ListParagraph"/>
        <w:numPr>
          <w:ilvl w:val="0"/>
          <w:numId w:val="3"/>
        </w:numPr>
      </w:pPr>
      <w:r w:rsidRPr="004E38E9">
        <w:t>Customer</w:t>
      </w:r>
      <w:r w:rsidR="00B40BC3">
        <w:t>-</w:t>
      </w:r>
      <w:r w:rsidRPr="004E38E9">
        <w:t>specific secure web interface; only requires customer access to a standard web browser</w:t>
      </w:r>
      <w:r w:rsidR="00B40BC3">
        <w:t>.</w:t>
      </w:r>
    </w:p>
    <w:p w14:paraId="505D64AD" w14:textId="77777777" w:rsidR="004E38E9" w:rsidRPr="004E38E9" w:rsidRDefault="004E38E9" w:rsidP="004E38E9">
      <w:pPr>
        <w:pStyle w:val="ListParagraph"/>
        <w:numPr>
          <w:ilvl w:val="0"/>
          <w:numId w:val="3"/>
        </w:numPr>
      </w:pPr>
      <w:r w:rsidRPr="004E38E9">
        <w:t>Customer data import for quick start-up</w:t>
      </w:r>
      <w:r w:rsidR="00B40BC3">
        <w:t>.</w:t>
      </w:r>
    </w:p>
    <w:p w14:paraId="29EC1C09" w14:textId="39F46F4B" w:rsidR="004E38E9" w:rsidRPr="004E38E9" w:rsidRDefault="004E38E9" w:rsidP="004E38E9">
      <w:pPr>
        <w:pStyle w:val="ListParagraph"/>
        <w:numPr>
          <w:ilvl w:val="0"/>
          <w:numId w:val="3"/>
        </w:numPr>
      </w:pPr>
      <w:r w:rsidRPr="004E38E9">
        <w:t>Quick-Start Guides, training exercises and online user manual</w:t>
      </w:r>
      <w:r w:rsidR="00B40BC3">
        <w:t>.</w:t>
      </w:r>
    </w:p>
    <w:p w14:paraId="61FC6148" w14:textId="715E521B" w:rsidR="004E38E9" w:rsidRPr="004E38E9" w:rsidRDefault="004E38E9" w:rsidP="004E38E9">
      <w:pPr>
        <w:pStyle w:val="ListParagraph"/>
        <w:numPr>
          <w:ilvl w:val="0"/>
          <w:numId w:val="3"/>
        </w:numPr>
      </w:pPr>
      <w:r w:rsidRPr="004E38E9">
        <w:t>Direct online access to customer support portal.</w:t>
      </w:r>
    </w:p>
    <w:p w14:paraId="2A2CE318" w14:textId="4A80C90C" w:rsidR="004E38E9" w:rsidRPr="004E38E9" w:rsidRDefault="004E38E9" w:rsidP="004E38E9">
      <w:pPr>
        <w:pStyle w:val="ListParagraph"/>
        <w:numPr>
          <w:ilvl w:val="0"/>
          <w:numId w:val="3"/>
        </w:numPr>
      </w:pPr>
      <w:r w:rsidRPr="004E38E9">
        <w:t>HIPAA</w:t>
      </w:r>
      <w:r w:rsidR="00B40BC3">
        <w:t>-</w:t>
      </w:r>
      <w:r w:rsidRPr="004E38E9">
        <w:t>compliant secure internal messaging system</w:t>
      </w:r>
      <w:r w:rsidR="00B40BC3">
        <w:t>.</w:t>
      </w:r>
    </w:p>
    <w:p w14:paraId="1710E4B1" w14:textId="77777777" w:rsidR="004E38E9" w:rsidRPr="004E38E9" w:rsidRDefault="004E38E9" w:rsidP="004E38E9">
      <w:pPr>
        <w:rPr>
          <w:b/>
        </w:rPr>
      </w:pPr>
      <w:r w:rsidRPr="004E38E9">
        <w:rPr>
          <w:b/>
        </w:rPr>
        <w:t>Clinical Records</w:t>
      </w:r>
    </w:p>
    <w:p w14:paraId="7E220D06" w14:textId="77777777" w:rsidR="004E38E9" w:rsidRPr="004E38E9" w:rsidRDefault="004E38E9" w:rsidP="004E38E9">
      <w:pPr>
        <w:pStyle w:val="ListParagraph"/>
        <w:numPr>
          <w:ilvl w:val="0"/>
          <w:numId w:val="4"/>
        </w:numPr>
      </w:pPr>
      <w:r w:rsidRPr="004E38E9">
        <w:t>Comprehensive assessment driven by interdisciplinary input</w:t>
      </w:r>
      <w:r w:rsidR="00B40BC3">
        <w:t>.</w:t>
      </w:r>
    </w:p>
    <w:p w14:paraId="7B5A9E41" w14:textId="77777777" w:rsidR="004E38E9" w:rsidRPr="004E38E9" w:rsidRDefault="004E38E9" w:rsidP="004E38E9">
      <w:pPr>
        <w:pStyle w:val="ListParagraph"/>
        <w:numPr>
          <w:ilvl w:val="0"/>
          <w:numId w:val="4"/>
        </w:numPr>
      </w:pPr>
      <w:r w:rsidRPr="004E38E9">
        <w:t>Comprehensive plan of care that incorporates clinical evaluations of conditions and issues</w:t>
      </w:r>
      <w:r w:rsidR="00B40BC3">
        <w:t>.</w:t>
      </w:r>
    </w:p>
    <w:p w14:paraId="5E762636" w14:textId="77777777" w:rsidR="004E38E9" w:rsidRPr="004E38E9" w:rsidRDefault="004E38E9" w:rsidP="004E38E9">
      <w:pPr>
        <w:pStyle w:val="ListParagraph"/>
        <w:numPr>
          <w:ilvl w:val="0"/>
          <w:numId w:val="4"/>
        </w:numPr>
      </w:pPr>
      <w:r w:rsidRPr="004E38E9">
        <w:t>Due date alerts for plan of care</w:t>
      </w:r>
      <w:r w:rsidR="00B40BC3">
        <w:t>.</w:t>
      </w:r>
    </w:p>
    <w:p w14:paraId="75A4D688" w14:textId="77777777" w:rsidR="004E38E9" w:rsidRPr="004E38E9" w:rsidRDefault="004E38E9" w:rsidP="004E38E9">
      <w:pPr>
        <w:pStyle w:val="ListParagraph"/>
        <w:numPr>
          <w:ilvl w:val="0"/>
          <w:numId w:val="4"/>
        </w:numPr>
      </w:pPr>
      <w:r w:rsidRPr="004E38E9">
        <w:t>Quarterly comprehensive care plan summary</w:t>
      </w:r>
      <w:r w:rsidR="00B40BC3">
        <w:t>.</w:t>
      </w:r>
    </w:p>
    <w:p w14:paraId="4FC71558" w14:textId="77777777" w:rsidR="004E38E9" w:rsidRPr="004E38E9" w:rsidRDefault="004E38E9" w:rsidP="004E38E9">
      <w:pPr>
        <w:pStyle w:val="ListParagraph"/>
        <w:numPr>
          <w:ilvl w:val="0"/>
          <w:numId w:val="4"/>
        </w:numPr>
      </w:pPr>
      <w:r w:rsidRPr="004E38E9">
        <w:lastRenderedPageBreak/>
        <w:t>Tests and assessment scales: stand-alone and integrated with the comprehensive plan of care</w:t>
      </w:r>
    </w:p>
    <w:p w14:paraId="238AA737" w14:textId="28A9FCE3" w:rsidR="004E38E9" w:rsidRPr="004E38E9" w:rsidRDefault="004E38E9" w:rsidP="004E38E9">
      <w:pPr>
        <w:pStyle w:val="ListParagraph"/>
        <w:numPr>
          <w:ilvl w:val="0"/>
          <w:numId w:val="4"/>
        </w:numPr>
      </w:pPr>
      <w:r w:rsidRPr="004E38E9">
        <w:t>Nursing Medication Management</w:t>
      </w:r>
      <w:r w:rsidR="00B40BC3">
        <w:t>/</w:t>
      </w:r>
      <w:r w:rsidRPr="004E38E9">
        <w:t>Administration (MAR), reconciliation and history reports</w:t>
      </w:r>
      <w:r w:rsidR="00B40BC3">
        <w:t>.</w:t>
      </w:r>
    </w:p>
    <w:p w14:paraId="193D9F15" w14:textId="5F6551B7" w:rsidR="004E38E9" w:rsidRPr="004E38E9" w:rsidRDefault="004E38E9" w:rsidP="004E38E9">
      <w:pPr>
        <w:pStyle w:val="ListParagraph"/>
        <w:numPr>
          <w:ilvl w:val="0"/>
          <w:numId w:val="4"/>
        </w:numPr>
      </w:pPr>
      <w:r w:rsidRPr="004E38E9">
        <w:t>Direct access/import from the NCD database</w:t>
      </w:r>
      <w:r w:rsidR="00B40BC3">
        <w:t>.</w:t>
      </w:r>
    </w:p>
    <w:p w14:paraId="6C0CA1A6" w14:textId="6106F322" w:rsidR="004E38E9" w:rsidRPr="004E38E9" w:rsidRDefault="004E38E9" w:rsidP="004E38E9">
      <w:pPr>
        <w:pStyle w:val="ListParagraph"/>
        <w:numPr>
          <w:ilvl w:val="0"/>
          <w:numId w:val="4"/>
        </w:numPr>
      </w:pPr>
      <w:r w:rsidRPr="004E38E9">
        <w:t>Direct access/import from the ICD-9/ICD-10 databases</w:t>
      </w:r>
      <w:r w:rsidR="00B40BC3">
        <w:t>.</w:t>
      </w:r>
    </w:p>
    <w:p w14:paraId="3BA23FE9" w14:textId="77777777" w:rsidR="004E38E9" w:rsidRPr="004E38E9" w:rsidRDefault="004E38E9" w:rsidP="004E38E9">
      <w:pPr>
        <w:pStyle w:val="ListParagraph"/>
        <w:numPr>
          <w:ilvl w:val="0"/>
          <w:numId w:val="4"/>
        </w:numPr>
      </w:pPr>
      <w:r w:rsidRPr="004E38E9">
        <w:t>Client status update report ready to send to PCP</w:t>
      </w:r>
      <w:r w:rsidR="00B40BC3">
        <w:t>.</w:t>
      </w:r>
    </w:p>
    <w:p w14:paraId="5A7AA8FB" w14:textId="77777777" w:rsidR="004E38E9" w:rsidRPr="004E38E9" w:rsidRDefault="004E38E9" w:rsidP="004E38E9">
      <w:pPr>
        <w:pStyle w:val="ListParagraph"/>
        <w:numPr>
          <w:ilvl w:val="0"/>
          <w:numId w:val="4"/>
        </w:numPr>
      </w:pPr>
      <w:r w:rsidRPr="004E38E9">
        <w:t>Progress and collateral contact reporting in interim progress notes, searchable by discipline and subject, in SOAP and other report formats</w:t>
      </w:r>
      <w:r w:rsidR="00B40BC3">
        <w:t>.</w:t>
      </w:r>
    </w:p>
    <w:p w14:paraId="2EB18F22" w14:textId="77777777" w:rsidR="004E38E9" w:rsidRPr="004E38E9" w:rsidRDefault="004E38E9" w:rsidP="004E38E9">
      <w:pPr>
        <w:pStyle w:val="ListParagraph"/>
        <w:numPr>
          <w:ilvl w:val="0"/>
          <w:numId w:val="4"/>
        </w:numPr>
      </w:pPr>
      <w:r w:rsidRPr="004E38E9">
        <w:t>Weekly notes automatically incorporate all documentation entered for the week selected</w:t>
      </w:r>
      <w:r w:rsidR="00B40BC3">
        <w:t>.</w:t>
      </w:r>
    </w:p>
    <w:p w14:paraId="6CCCDF0B" w14:textId="77777777" w:rsidR="004E38E9" w:rsidRPr="004E38E9" w:rsidRDefault="004E38E9" w:rsidP="004E38E9">
      <w:pPr>
        <w:pStyle w:val="ListParagraph"/>
        <w:numPr>
          <w:ilvl w:val="0"/>
          <w:numId w:val="4"/>
        </w:numPr>
      </w:pPr>
      <w:r w:rsidRPr="004E38E9">
        <w:t>Activity logs with choice of participation, assistance and behavior performance scales</w:t>
      </w:r>
      <w:r w:rsidR="00B40BC3">
        <w:t>.</w:t>
      </w:r>
    </w:p>
    <w:p w14:paraId="0A95A515" w14:textId="77777777" w:rsidR="004E38E9" w:rsidRPr="004E38E9" w:rsidRDefault="004E38E9" w:rsidP="004E38E9">
      <w:pPr>
        <w:pStyle w:val="ListParagraph"/>
        <w:numPr>
          <w:ilvl w:val="0"/>
          <w:numId w:val="4"/>
        </w:numPr>
      </w:pPr>
      <w:r w:rsidRPr="004E38E9">
        <w:t>Kitchen and meal service guides</w:t>
      </w:r>
      <w:r w:rsidR="00B40BC3">
        <w:t>.</w:t>
      </w:r>
    </w:p>
    <w:p w14:paraId="29EAC250" w14:textId="77777777" w:rsidR="004E38E9" w:rsidRPr="004E38E9" w:rsidRDefault="004E38E9" w:rsidP="004E38E9">
      <w:pPr>
        <w:pStyle w:val="ListParagraph"/>
        <w:numPr>
          <w:ilvl w:val="0"/>
          <w:numId w:val="4"/>
        </w:numPr>
      </w:pPr>
      <w:r w:rsidRPr="004E38E9">
        <w:t>Doctor’s orders and reports uploaded to participant’s health record</w:t>
      </w:r>
      <w:r w:rsidR="00B40BC3">
        <w:t>.</w:t>
      </w:r>
    </w:p>
    <w:p w14:paraId="2E2D4CEF" w14:textId="77777777" w:rsidR="004E38E9" w:rsidRPr="004E38E9" w:rsidRDefault="004E38E9" w:rsidP="004E38E9">
      <w:pPr>
        <w:pStyle w:val="ListParagraph"/>
        <w:numPr>
          <w:ilvl w:val="0"/>
          <w:numId w:val="4"/>
        </w:numPr>
      </w:pPr>
      <w:r w:rsidRPr="004E38E9">
        <w:t>ER transfer sheet ready for medics when they respond to a 911 call</w:t>
      </w:r>
      <w:r w:rsidR="00B40BC3">
        <w:t>.</w:t>
      </w:r>
    </w:p>
    <w:p w14:paraId="1AED2672" w14:textId="77777777" w:rsidR="004E38E9" w:rsidRPr="004E38E9" w:rsidRDefault="004E38E9" w:rsidP="004E38E9">
      <w:pPr>
        <w:rPr>
          <w:b/>
        </w:rPr>
      </w:pPr>
      <w:r w:rsidRPr="004E38E9">
        <w:rPr>
          <w:b/>
        </w:rPr>
        <w:t>Clinical Analysis</w:t>
      </w:r>
    </w:p>
    <w:p w14:paraId="16E8B10B" w14:textId="77777777" w:rsidR="004E38E9" w:rsidRPr="004E38E9" w:rsidRDefault="004E38E9" w:rsidP="004E38E9">
      <w:pPr>
        <w:pStyle w:val="ListParagraph"/>
        <w:numPr>
          <w:ilvl w:val="0"/>
          <w:numId w:val="5"/>
        </w:numPr>
      </w:pPr>
      <w:r w:rsidRPr="004E38E9">
        <w:t>Demographics</w:t>
      </w:r>
    </w:p>
    <w:p w14:paraId="77DCAD5D" w14:textId="77777777" w:rsidR="004E38E9" w:rsidRPr="004E38E9" w:rsidRDefault="004E38E9" w:rsidP="004E38E9">
      <w:pPr>
        <w:pStyle w:val="ListParagraph"/>
        <w:numPr>
          <w:ilvl w:val="0"/>
          <w:numId w:val="5"/>
        </w:numPr>
      </w:pPr>
      <w:r w:rsidRPr="004E38E9">
        <w:t xml:space="preserve">Vital signs </w:t>
      </w:r>
    </w:p>
    <w:p w14:paraId="67F3B5BB" w14:textId="77777777" w:rsidR="004E38E9" w:rsidRPr="004E38E9" w:rsidRDefault="004E38E9" w:rsidP="004E38E9">
      <w:pPr>
        <w:pStyle w:val="ListParagraph"/>
        <w:numPr>
          <w:ilvl w:val="0"/>
          <w:numId w:val="5"/>
        </w:numPr>
      </w:pPr>
      <w:r w:rsidRPr="004E38E9">
        <w:t>Care acuity</w:t>
      </w:r>
    </w:p>
    <w:p w14:paraId="0B8FA4F9" w14:textId="77777777" w:rsidR="004E38E9" w:rsidRPr="004E38E9" w:rsidRDefault="004E38E9" w:rsidP="004E38E9">
      <w:pPr>
        <w:pStyle w:val="ListParagraph"/>
        <w:numPr>
          <w:ilvl w:val="0"/>
          <w:numId w:val="5"/>
        </w:numPr>
      </w:pPr>
      <w:r w:rsidRPr="004E38E9">
        <w:t>Diagnoses</w:t>
      </w:r>
    </w:p>
    <w:p w14:paraId="20B8965D" w14:textId="77777777" w:rsidR="004E38E9" w:rsidRPr="004E38E9" w:rsidRDefault="004E38E9" w:rsidP="004E38E9">
      <w:pPr>
        <w:pStyle w:val="ListParagraph"/>
        <w:numPr>
          <w:ilvl w:val="0"/>
          <w:numId w:val="5"/>
        </w:numPr>
      </w:pPr>
      <w:r w:rsidRPr="004E38E9">
        <w:t>Medications</w:t>
      </w:r>
    </w:p>
    <w:p w14:paraId="646D2036" w14:textId="77777777" w:rsidR="004E38E9" w:rsidRPr="004E38E9" w:rsidRDefault="004E38E9" w:rsidP="004E38E9">
      <w:pPr>
        <w:pStyle w:val="ListParagraph"/>
        <w:numPr>
          <w:ilvl w:val="0"/>
          <w:numId w:val="5"/>
        </w:numPr>
      </w:pPr>
      <w:r w:rsidRPr="004E38E9">
        <w:t>Outcomes based on measurable goals</w:t>
      </w:r>
    </w:p>
    <w:p w14:paraId="49799AD2" w14:textId="376C5DF5" w:rsidR="004E38E9" w:rsidRPr="004E38E9" w:rsidRDefault="004E38E9" w:rsidP="004E38E9">
      <w:pPr>
        <w:pStyle w:val="ListParagraph"/>
        <w:numPr>
          <w:ilvl w:val="0"/>
          <w:numId w:val="5"/>
        </w:numPr>
      </w:pPr>
      <w:r w:rsidRPr="004E38E9">
        <w:t>Problem/issue specific interventions</w:t>
      </w:r>
    </w:p>
    <w:p w14:paraId="59355702" w14:textId="77777777" w:rsidR="004E38E9" w:rsidRPr="004E38E9" w:rsidRDefault="004E38E9" w:rsidP="004E38E9">
      <w:pPr>
        <w:rPr>
          <w:b/>
        </w:rPr>
      </w:pPr>
      <w:r w:rsidRPr="004E38E9">
        <w:rPr>
          <w:b/>
        </w:rPr>
        <w:t>Administrative Management</w:t>
      </w:r>
    </w:p>
    <w:p w14:paraId="6E57D711" w14:textId="77777777" w:rsidR="004E38E9" w:rsidRPr="004E38E9" w:rsidRDefault="004E38E9" w:rsidP="004E38E9">
      <w:pPr>
        <w:pStyle w:val="ListParagraph"/>
        <w:numPr>
          <w:ilvl w:val="0"/>
          <w:numId w:val="6"/>
        </w:numPr>
      </w:pPr>
      <w:r w:rsidRPr="004E38E9">
        <w:t>Inquiry and referral source tracking and reports</w:t>
      </w:r>
      <w:r w:rsidR="00B40BC3">
        <w:t>.</w:t>
      </w:r>
    </w:p>
    <w:p w14:paraId="3AE2A43B" w14:textId="77777777" w:rsidR="004E38E9" w:rsidRPr="004E38E9" w:rsidRDefault="004E38E9" w:rsidP="004E38E9">
      <w:pPr>
        <w:pStyle w:val="ListParagraph"/>
        <w:numPr>
          <w:ilvl w:val="0"/>
          <w:numId w:val="6"/>
        </w:numPr>
      </w:pPr>
      <w:r w:rsidRPr="004E38E9">
        <w:t>Attendance and dietary, including CACFP reports and tracking</w:t>
      </w:r>
      <w:r w:rsidR="00B40BC3">
        <w:t>.</w:t>
      </w:r>
    </w:p>
    <w:p w14:paraId="23C34B6B" w14:textId="77777777" w:rsidR="004E38E9" w:rsidRPr="004E38E9" w:rsidRDefault="004E38E9" w:rsidP="004E38E9">
      <w:pPr>
        <w:pStyle w:val="ListParagraph"/>
        <w:numPr>
          <w:ilvl w:val="0"/>
          <w:numId w:val="6"/>
        </w:numPr>
      </w:pPr>
      <w:r w:rsidRPr="004E38E9">
        <w:t>Analysis of participant attendance by individual, service and programs</w:t>
      </w:r>
      <w:r w:rsidR="00B40BC3">
        <w:t>.</w:t>
      </w:r>
    </w:p>
    <w:p w14:paraId="16311580" w14:textId="77777777" w:rsidR="004E38E9" w:rsidRPr="004E38E9" w:rsidRDefault="004E38E9" w:rsidP="004E38E9">
      <w:pPr>
        <w:pStyle w:val="ListParagraph"/>
        <w:numPr>
          <w:ilvl w:val="0"/>
          <w:numId w:val="6"/>
        </w:numPr>
      </w:pPr>
      <w:r w:rsidRPr="004E38E9">
        <w:t>Financial, insurance, transportation, participant information and demographics</w:t>
      </w:r>
      <w:r w:rsidR="00B40BC3">
        <w:t>.</w:t>
      </w:r>
    </w:p>
    <w:p w14:paraId="741289DE" w14:textId="3CC2E25E" w:rsidR="004E38E9" w:rsidRPr="004E38E9" w:rsidRDefault="004E38E9" w:rsidP="004E38E9">
      <w:pPr>
        <w:pStyle w:val="ListParagraph"/>
        <w:numPr>
          <w:ilvl w:val="0"/>
          <w:numId w:val="6"/>
        </w:numPr>
      </w:pPr>
      <w:r w:rsidRPr="004E38E9">
        <w:t>Contact information for family, emergencies, financial, healthcare and community</w:t>
      </w:r>
      <w:r w:rsidR="00B40BC3">
        <w:t>-</w:t>
      </w:r>
      <w:r w:rsidRPr="004E38E9">
        <w:t>based providers for each participant</w:t>
      </w:r>
      <w:r w:rsidR="00B40BC3">
        <w:t>.</w:t>
      </w:r>
    </w:p>
    <w:p w14:paraId="063FF699" w14:textId="77777777" w:rsidR="004E38E9" w:rsidRPr="004E38E9" w:rsidRDefault="004E38E9" w:rsidP="004E38E9">
      <w:pPr>
        <w:pStyle w:val="ListParagraph"/>
        <w:numPr>
          <w:ilvl w:val="0"/>
          <w:numId w:val="6"/>
        </w:numPr>
      </w:pPr>
      <w:r w:rsidRPr="004E38E9">
        <w:t>Secure guest read-only privileges for visiting auditors</w:t>
      </w:r>
      <w:r w:rsidR="00B40BC3">
        <w:t>.</w:t>
      </w:r>
    </w:p>
    <w:p w14:paraId="5EE40341" w14:textId="77777777" w:rsidR="004E38E9" w:rsidRPr="004E38E9" w:rsidRDefault="004E38E9" w:rsidP="004E38E9">
      <w:pPr>
        <w:pStyle w:val="ListParagraph"/>
        <w:numPr>
          <w:ilvl w:val="0"/>
          <w:numId w:val="6"/>
        </w:numPr>
      </w:pPr>
      <w:r w:rsidRPr="004E38E9">
        <w:lastRenderedPageBreak/>
        <w:t>Library of participant’s providers for easy look-up</w:t>
      </w:r>
      <w:r w:rsidR="00B40BC3">
        <w:t>.</w:t>
      </w:r>
    </w:p>
    <w:p w14:paraId="6C5DACE0" w14:textId="174BB11F" w:rsidR="004E38E9" w:rsidRPr="004E38E9" w:rsidRDefault="00B40BC3" w:rsidP="004E38E9">
      <w:pPr>
        <w:pStyle w:val="ListParagraph"/>
        <w:numPr>
          <w:ilvl w:val="0"/>
          <w:numId w:val="6"/>
        </w:numPr>
      </w:pPr>
      <w:r w:rsidRPr="004E38E9">
        <w:t>HIP</w:t>
      </w:r>
      <w:r>
        <w:t>A</w:t>
      </w:r>
      <w:r w:rsidRPr="004E38E9">
        <w:t xml:space="preserve">A </w:t>
      </w:r>
      <w:r w:rsidR="004E38E9" w:rsidRPr="004E38E9">
        <w:t>5010</w:t>
      </w:r>
      <w:r>
        <w:t xml:space="preserve"> </w:t>
      </w:r>
      <w:r w:rsidR="004E38E9" w:rsidRPr="004E38E9">
        <w:t xml:space="preserve">837 institutional and professional healthcare claims for batch upload </w:t>
      </w:r>
    </w:p>
    <w:p w14:paraId="6727EF42" w14:textId="77777777" w:rsidR="007E6697" w:rsidRDefault="007E6697" w:rsidP="004E38E9">
      <w:pPr>
        <w:rPr>
          <w:b/>
          <w:sz w:val="36"/>
        </w:rPr>
      </w:pPr>
    </w:p>
    <w:p w14:paraId="60BE0C87" w14:textId="10C81706" w:rsidR="004E38E9" w:rsidRPr="008628B1" w:rsidRDefault="008628B1" w:rsidP="004E38E9">
      <w:pPr>
        <w:rPr>
          <w:b/>
          <w:sz w:val="36"/>
        </w:rPr>
      </w:pPr>
      <w:bookmarkStart w:id="0" w:name="_GoBack"/>
      <w:bookmarkEnd w:id="0"/>
      <w:r w:rsidRPr="008628B1">
        <w:rPr>
          <w:b/>
          <w:sz w:val="36"/>
        </w:rPr>
        <w:t>TESTIMONIALS</w:t>
      </w:r>
    </w:p>
    <w:p w14:paraId="75F37A52" w14:textId="77777777" w:rsidR="008628B1" w:rsidRPr="00F725CC" w:rsidRDefault="008628B1" w:rsidP="008628B1">
      <w:pPr>
        <w:rPr>
          <w:i/>
        </w:rPr>
      </w:pPr>
      <w:r w:rsidRPr="00F725CC">
        <w:rPr>
          <w:i/>
        </w:rPr>
        <w:t xml:space="preserve">Here’s what some everyday users with different responsibilities have to say about Nuvelox’ TxOffice-ADS. </w:t>
      </w:r>
    </w:p>
    <w:p w14:paraId="18A88F7B" w14:textId="77777777" w:rsidR="008628B1" w:rsidRPr="005C5417" w:rsidRDefault="008628B1" w:rsidP="008628B1">
      <w:pPr>
        <w:rPr>
          <w:u w:val="single"/>
        </w:rPr>
      </w:pPr>
      <w:r>
        <w:rPr>
          <w:u w:val="single"/>
        </w:rPr>
        <w:t>Simple To Master</w:t>
      </w:r>
      <w:r w:rsidRPr="002F485E">
        <w:rPr>
          <w:u w:val="single"/>
        </w:rPr>
        <w:br/>
      </w:r>
      <w:r w:rsidRPr="005C5417">
        <w:t>“The program was easy to learn and very intuitive,”</w:t>
      </w:r>
      <w:r w:rsidRPr="005C5417">
        <w:rPr>
          <w:i/>
        </w:rPr>
        <w:t xml:space="preserve"> </w:t>
      </w:r>
      <w:r>
        <w:t xml:space="preserve">says Stewart Childers, High Volume Case Manager, Full Life Care, Everett site. </w:t>
      </w:r>
    </w:p>
    <w:p w14:paraId="1595268C" w14:textId="77777777" w:rsidR="008628B1" w:rsidRDefault="008628B1" w:rsidP="008628B1">
      <w:r w:rsidRPr="002F485E">
        <w:rPr>
          <w:u w:val="single"/>
        </w:rPr>
        <w:t>Saves Time</w:t>
      </w:r>
      <w:r w:rsidRPr="002F485E">
        <w:rPr>
          <w:u w:val="single"/>
        </w:rPr>
        <w:br/>
      </w:r>
      <w:r>
        <w:t xml:space="preserve">“Having a place to put all the external documents in the program saves me a lot of filing time and also helps to prevent me from putting documents in the wrong spot. It’s really easy and quick to reference older progress notes … no more flipping through all that paper!” says </w:t>
      </w:r>
      <w:r w:rsidRPr="005C5417">
        <w:t>Stacy Christ</w:t>
      </w:r>
      <w:r>
        <w:t xml:space="preserve">, </w:t>
      </w:r>
      <w:r w:rsidRPr="005C5417">
        <w:t>Assistant Program Manager</w:t>
      </w:r>
      <w:r>
        <w:t xml:space="preserve">, Full Life Care, </w:t>
      </w:r>
      <w:r w:rsidRPr="005C5417">
        <w:t>North Branch</w:t>
      </w:r>
      <w:r>
        <w:t xml:space="preserve">. “Our recent state audit went </w:t>
      </w:r>
      <w:r>
        <w:rPr>
          <w:i/>
        </w:rPr>
        <w:t>much</w:t>
      </w:r>
      <w:r>
        <w:t xml:space="preserve"> more quickly. I brought in a laptop, the auditors asked me for specific documents and I pulled up whatever they were looking for.” </w:t>
      </w:r>
    </w:p>
    <w:p w14:paraId="15F47991" w14:textId="77777777" w:rsidR="008628B1" w:rsidRDefault="008628B1" w:rsidP="008628B1">
      <w:r w:rsidRPr="002F485E">
        <w:rPr>
          <w:u w:val="single"/>
        </w:rPr>
        <w:t>Provides Relevant Data</w:t>
      </w:r>
      <w:r w:rsidRPr="002F485E">
        <w:rPr>
          <w:u w:val="single"/>
        </w:rPr>
        <w:br/>
      </w:r>
      <w:r>
        <w:t>“Compared to programs I’ve used before, the information that we are collecting for each person is very relevant to what we are doing, and we’re not getting a bunch of information that we don’t need,” says Joan Noste, Intake Coordinator, Full Life Care, Everett site. “We are getting exactly what we need to provide the service and to convey the information that is going to help the staff to know what to do [with the client].”</w:t>
      </w:r>
    </w:p>
    <w:p w14:paraId="5EE865B3" w14:textId="77777777" w:rsidR="008628B1" w:rsidRDefault="008628B1" w:rsidP="008628B1">
      <w:r w:rsidRPr="00232DB8">
        <w:rPr>
          <w:u w:val="single"/>
        </w:rPr>
        <w:t>Everything Each Professional Needs</w:t>
      </w:r>
      <w:r w:rsidRPr="00232DB8">
        <w:rPr>
          <w:u w:val="single"/>
        </w:rPr>
        <w:br/>
      </w:r>
      <w:r>
        <w:t>“</w:t>
      </w:r>
      <w:r w:rsidRPr="00FB45EF">
        <w:t xml:space="preserve">Everything that we know about </w:t>
      </w:r>
      <w:r>
        <w:t>a client is in Nuvelo</w:t>
      </w:r>
      <w:r w:rsidRPr="00FB45EF">
        <w:t>x, not just a small piece of it</w:t>
      </w:r>
      <w:r>
        <w:t>,” says Glenda Pocha, Progr</w:t>
      </w:r>
      <w:r w:rsidR="00A64DBE">
        <w:t>am Manager, Full Life Care, Everett</w:t>
      </w:r>
      <w:r>
        <w:t xml:space="preserve"> site. “I</w:t>
      </w:r>
      <w:r w:rsidRPr="00FB45EF">
        <w:t>t's a resource for the entire multi-disciplinary team</w:t>
      </w:r>
      <w:r>
        <w:t xml:space="preserve"> </w:t>
      </w:r>
      <w:r w:rsidRPr="00FB45EF">
        <w:t>to use and know the clients better</w:t>
      </w:r>
      <w:r>
        <w:t>. Whether you’</w:t>
      </w:r>
      <w:r w:rsidRPr="00FB45EF">
        <w:t xml:space="preserve">re </w:t>
      </w:r>
      <w:r>
        <w:t>in n</w:t>
      </w:r>
      <w:r w:rsidRPr="00FB45EF">
        <w:t xml:space="preserve">ursing or </w:t>
      </w:r>
      <w:r>
        <w:t>OT</w:t>
      </w:r>
      <w:r w:rsidRPr="00FB45EF">
        <w:t xml:space="preserve"> or </w:t>
      </w:r>
      <w:r>
        <w:t>a program assistant</w:t>
      </w:r>
      <w:r w:rsidRPr="00FB45EF">
        <w:t xml:space="preserve">, </w:t>
      </w:r>
      <w:r>
        <w:t>you have</w:t>
      </w:r>
      <w:r w:rsidRPr="00FB45EF">
        <w:t xml:space="preserve"> everything </w:t>
      </w:r>
      <w:r>
        <w:t>you need to see at your fingertips</w:t>
      </w:r>
      <w:r w:rsidRPr="00FB45EF">
        <w:t>.</w:t>
      </w:r>
      <w:r>
        <w:t>”</w:t>
      </w:r>
    </w:p>
    <w:p w14:paraId="14925C72" w14:textId="77777777" w:rsidR="005E37EF" w:rsidRDefault="005E37EF" w:rsidP="008628B1"/>
    <w:p w14:paraId="4518B5F0" w14:textId="77777777" w:rsidR="009C708B" w:rsidRDefault="009C708B" w:rsidP="005E37EF">
      <w:pPr>
        <w:rPr>
          <w:b/>
          <w:sz w:val="36"/>
        </w:rPr>
      </w:pPr>
    </w:p>
    <w:p w14:paraId="6CB5D6CC" w14:textId="7F2469FC" w:rsidR="007E6697" w:rsidRDefault="007E6697" w:rsidP="005E37EF">
      <w:pPr>
        <w:rPr>
          <w:b/>
          <w:sz w:val="36"/>
        </w:rPr>
      </w:pPr>
    </w:p>
    <w:p w14:paraId="4DF141C7" w14:textId="09145963" w:rsidR="005E37EF" w:rsidRDefault="005E37EF" w:rsidP="005E37EF">
      <w:pPr>
        <w:rPr>
          <w:b/>
          <w:sz w:val="36"/>
        </w:rPr>
      </w:pPr>
      <w:r>
        <w:rPr>
          <w:b/>
          <w:sz w:val="36"/>
        </w:rPr>
        <w:t>CONTACT US</w:t>
      </w:r>
    </w:p>
    <w:p w14:paraId="2AB7234F" w14:textId="5FDC3F80" w:rsidR="007E6697" w:rsidRDefault="007E6697" w:rsidP="005E37EF">
      <w:pPr>
        <w:rPr>
          <w:b/>
          <w:sz w:val="36"/>
        </w:rPr>
      </w:pPr>
    </w:p>
    <w:p w14:paraId="43838BF7" w14:textId="3952709E" w:rsidR="009C708B" w:rsidRDefault="009C708B" w:rsidP="005E37EF">
      <w:pPr>
        <w:rPr>
          <w:b/>
          <w:sz w:val="36"/>
        </w:rPr>
      </w:pPr>
      <w:r>
        <w:rPr>
          <w:b/>
          <w:sz w:val="36"/>
        </w:rPr>
        <w:t>Nuvelox Technologies</w:t>
      </w:r>
    </w:p>
    <w:p w14:paraId="14496186" w14:textId="77777777" w:rsidR="009C708B" w:rsidRPr="008653F9" w:rsidRDefault="009C708B" w:rsidP="009C708B">
      <w:pPr>
        <w:jc w:val="both"/>
      </w:pPr>
      <w:r w:rsidRPr="008653F9">
        <w:t>22722 29th Dr SE</w:t>
      </w:r>
    </w:p>
    <w:p w14:paraId="5E2EFE09" w14:textId="77777777" w:rsidR="009C708B" w:rsidRPr="008653F9" w:rsidRDefault="009C708B" w:rsidP="009C708B">
      <w:pPr>
        <w:jc w:val="both"/>
      </w:pPr>
      <w:r w:rsidRPr="008653F9">
        <w:t>Suite 100</w:t>
      </w:r>
    </w:p>
    <w:p w14:paraId="4BD48D7D" w14:textId="7F03E271" w:rsidR="009C708B" w:rsidRPr="008653F9" w:rsidRDefault="009C708B" w:rsidP="009C708B">
      <w:pPr>
        <w:jc w:val="both"/>
      </w:pPr>
      <w:r w:rsidRPr="008653F9">
        <w:t>Bothell</w:t>
      </w:r>
      <w:r>
        <w:t>,</w:t>
      </w:r>
      <w:r w:rsidRPr="008653F9">
        <w:t xml:space="preserve"> WA 98021</w:t>
      </w:r>
    </w:p>
    <w:p w14:paraId="3B754A42" w14:textId="535C5DBE" w:rsidR="005E37EF" w:rsidRDefault="005E37EF" w:rsidP="005E37EF">
      <w:pPr>
        <w:rPr>
          <w:sz w:val="36"/>
        </w:rPr>
      </w:pPr>
      <w:r>
        <w:rPr>
          <w:sz w:val="36"/>
        </w:rPr>
        <w:t>p</w:t>
      </w:r>
      <w:r w:rsidRPr="005E37EF">
        <w:rPr>
          <w:sz w:val="36"/>
        </w:rPr>
        <w:t>hone</w:t>
      </w:r>
      <w:r>
        <w:rPr>
          <w:sz w:val="36"/>
        </w:rPr>
        <w:t>: 206-602-7758</w:t>
      </w:r>
    </w:p>
    <w:p w14:paraId="19852382" w14:textId="09B1C8C2" w:rsidR="009C708B" w:rsidRDefault="009C708B" w:rsidP="005E37EF">
      <w:pPr>
        <w:rPr>
          <w:sz w:val="36"/>
        </w:rPr>
      </w:pPr>
      <w:r>
        <w:rPr>
          <w:sz w:val="36"/>
        </w:rPr>
        <w:t>fax: 206-260-3096</w:t>
      </w:r>
    </w:p>
    <w:p w14:paraId="1DAE8D16" w14:textId="77777777" w:rsidR="005E37EF" w:rsidRDefault="005E37EF" w:rsidP="005E37EF">
      <w:pPr>
        <w:rPr>
          <w:sz w:val="36"/>
        </w:rPr>
      </w:pPr>
      <w:r>
        <w:rPr>
          <w:sz w:val="36"/>
        </w:rPr>
        <w:t xml:space="preserve">e-mail: </w:t>
      </w:r>
      <w:hyperlink r:id="rId6" w:history="1">
        <w:r w:rsidRPr="004640E3">
          <w:rPr>
            <w:rStyle w:val="Hyperlink"/>
            <w:sz w:val="36"/>
          </w:rPr>
          <w:t>info@nuvelox.com</w:t>
        </w:r>
      </w:hyperlink>
    </w:p>
    <w:p w14:paraId="645037A1" w14:textId="715624A1" w:rsidR="007E6697" w:rsidRDefault="007E6697" w:rsidP="008628B1">
      <w:pPr>
        <w:rPr>
          <w:sz w:val="36"/>
        </w:rPr>
      </w:pPr>
      <w:hyperlink r:id="rId7" w:history="1">
        <w:r w:rsidRPr="00727C78">
          <w:rPr>
            <w:rStyle w:val="Hyperlink"/>
            <w:sz w:val="36"/>
          </w:rPr>
          <w:t>www.nuvelox.com</w:t>
        </w:r>
      </w:hyperlink>
    </w:p>
    <w:p w14:paraId="4C6746EE" w14:textId="5D2EB7DB" w:rsidR="005E37EF" w:rsidRDefault="007E6697" w:rsidP="008628B1">
      <w:pPr>
        <w:rPr>
          <w:b/>
        </w:rPr>
      </w:pPr>
      <w:r>
        <w:rPr>
          <w:noProof/>
        </w:rPr>
        <w:drawing>
          <wp:inline distT="0" distB="0" distL="0" distR="0" wp14:anchorId="41737374" wp14:editId="0520FA4B">
            <wp:extent cx="2714625" cy="669607"/>
            <wp:effectExtent l="0" t="0" r="0" b="0"/>
            <wp:docPr id="1" name="Picture 1" descr="C:\Users\Daria\AppData\Local\Microsoft\Windows\INetCache\Content.Word\nuvel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ria\AppData\Local\Microsoft\Windows\INetCache\Content.Word\nuvelox.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6286" cy="682350"/>
                    </a:xfrm>
                    <a:prstGeom prst="rect">
                      <a:avLst/>
                    </a:prstGeom>
                    <a:noFill/>
                    <a:ln>
                      <a:noFill/>
                    </a:ln>
                  </pic:spPr>
                </pic:pic>
              </a:graphicData>
            </a:graphic>
          </wp:inline>
        </w:drawing>
      </w:r>
    </w:p>
    <w:sectPr w:rsidR="005E37EF" w:rsidSect="006566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33CF8"/>
    <w:multiLevelType w:val="hybridMultilevel"/>
    <w:tmpl w:val="89760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F56B00"/>
    <w:multiLevelType w:val="hybridMultilevel"/>
    <w:tmpl w:val="4892A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B75D52"/>
    <w:multiLevelType w:val="hybridMultilevel"/>
    <w:tmpl w:val="B8B46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6B2863"/>
    <w:multiLevelType w:val="hybridMultilevel"/>
    <w:tmpl w:val="3E06E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1355C8"/>
    <w:multiLevelType w:val="hybridMultilevel"/>
    <w:tmpl w:val="6722E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A20616B"/>
    <w:multiLevelType w:val="hybridMultilevel"/>
    <w:tmpl w:val="1728A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DC3"/>
    <w:rsid w:val="00355D6F"/>
    <w:rsid w:val="00372EED"/>
    <w:rsid w:val="004E38E9"/>
    <w:rsid w:val="00516372"/>
    <w:rsid w:val="005E37EF"/>
    <w:rsid w:val="00601DC3"/>
    <w:rsid w:val="0065664D"/>
    <w:rsid w:val="006A3845"/>
    <w:rsid w:val="007E6697"/>
    <w:rsid w:val="008628B1"/>
    <w:rsid w:val="008653F9"/>
    <w:rsid w:val="00895689"/>
    <w:rsid w:val="009C708B"/>
    <w:rsid w:val="00A64DBE"/>
    <w:rsid w:val="00B40BC3"/>
    <w:rsid w:val="00F85432"/>
    <w:rsid w:val="00F900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5E9C6"/>
  <w15:docId w15:val="{6B1EF179-0690-45F5-8429-390A4A31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38E9"/>
    <w:pPr>
      <w:spacing w:after="200" w:line="240" w:lineRule="auto"/>
    </w:pPr>
    <w:rPr>
      <w:rFonts w:ascii="Trebuchet MS" w:hAnsi="Trebuchet MS"/>
      <w:sz w:val="28"/>
      <w:szCs w:val="24"/>
      <w:u w:color="0018E8"/>
    </w:rPr>
  </w:style>
  <w:style w:type="paragraph" w:styleId="Heading1">
    <w:name w:val="heading 1"/>
    <w:basedOn w:val="Normal"/>
    <w:next w:val="Normal"/>
    <w:link w:val="Heading1Char"/>
    <w:uiPriority w:val="1"/>
    <w:qFormat/>
    <w:rsid w:val="004E38E9"/>
    <w:pPr>
      <w:keepNext/>
      <w:keepLines/>
      <w:spacing w:before="200" w:after="0" w:line="216" w:lineRule="auto"/>
      <w:outlineLvl w:val="0"/>
    </w:pPr>
    <w:rPr>
      <w:rFonts w:asciiTheme="majorHAnsi" w:eastAsiaTheme="majorEastAsia" w:hAnsiTheme="majorHAnsi" w:cstheme="majorBidi"/>
      <w:b/>
      <w:bCs/>
      <w:color w:val="2F5496" w:themeColor="accent1" w:themeShade="BF"/>
      <w:sz w:val="4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8E9"/>
    <w:pPr>
      <w:ind w:left="720"/>
      <w:contextualSpacing/>
    </w:pPr>
  </w:style>
  <w:style w:type="character" w:customStyle="1" w:styleId="Heading1Char">
    <w:name w:val="Heading 1 Char"/>
    <w:basedOn w:val="DefaultParagraphFont"/>
    <w:link w:val="Heading1"/>
    <w:uiPriority w:val="1"/>
    <w:rsid w:val="004E38E9"/>
    <w:rPr>
      <w:rFonts w:asciiTheme="majorHAnsi" w:eastAsiaTheme="majorEastAsia" w:hAnsiTheme="majorHAnsi" w:cstheme="majorBidi"/>
      <w:b/>
      <w:bCs/>
      <w:color w:val="2F5496" w:themeColor="accent1" w:themeShade="BF"/>
      <w:sz w:val="42"/>
      <w:szCs w:val="20"/>
      <w:lang w:eastAsia="ja-JP"/>
    </w:rPr>
  </w:style>
  <w:style w:type="table" w:customStyle="1" w:styleId="TableLayout">
    <w:name w:val="Table Layout"/>
    <w:basedOn w:val="TableNormal"/>
    <w:uiPriority w:val="99"/>
    <w:rsid w:val="004E38E9"/>
    <w:pPr>
      <w:spacing w:after="200" w:line="288" w:lineRule="auto"/>
    </w:pPr>
    <w:rPr>
      <w:color w:val="50637D" w:themeColor="text2" w:themeTint="E6"/>
      <w:sz w:val="20"/>
      <w:szCs w:val="20"/>
      <w:lang w:eastAsia="ja-JP"/>
    </w:rPr>
    <w:tblPr>
      <w:tblCellMar>
        <w:left w:w="0" w:type="dxa"/>
        <w:right w:w="0" w:type="dxa"/>
      </w:tblCellMar>
    </w:tblPr>
  </w:style>
  <w:style w:type="paragraph" w:styleId="Caption">
    <w:name w:val="caption"/>
    <w:basedOn w:val="Normal"/>
    <w:next w:val="Normal"/>
    <w:uiPriority w:val="2"/>
    <w:unhideWhenUsed/>
    <w:qFormat/>
    <w:rsid w:val="004E38E9"/>
    <w:pPr>
      <w:spacing w:after="340"/>
    </w:pPr>
    <w:rPr>
      <w:rFonts w:asciiTheme="minorHAnsi" w:hAnsiTheme="minorHAnsi"/>
      <w:i/>
      <w:iCs/>
      <w:color w:val="50637D" w:themeColor="text2" w:themeTint="E6"/>
      <w:sz w:val="16"/>
      <w:szCs w:val="20"/>
      <w:lang w:eastAsia="ja-JP"/>
    </w:rPr>
  </w:style>
  <w:style w:type="paragraph" w:styleId="Quote">
    <w:name w:val="Quote"/>
    <w:basedOn w:val="Normal"/>
    <w:next w:val="Normal"/>
    <w:link w:val="QuoteChar"/>
    <w:uiPriority w:val="1"/>
    <w:qFormat/>
    <w:rsid w:val="004E38E9"/>
    <w:pPr>
      <w:pBdr>
        <w:top w:val="single" w:sz="4" w:space="14" w:color="2F5496" w:themeColor="accent1" w:themeShade="BF"/>
        <w:bottom w:val="single" w:sz="4" w:space="14" w:color="2F5496" w:themeColor="accent1" w:themeShade="BF"/>
      </w:pBdr>
      <w:spacing w:before="480" w:after="480" w:line="336" w:lineRule="auto"/>
    </w:pPr>
    <w:rPr>
      <w:rFonts w:asciiTheme="minorHAnsi" w:hAnsiTheme="minorHAnsi"/>
      <w:i/>
      <w:iCs/>
      <w:color w:val="2F5496" w:themeColor="accent1" w:themeShade="BF"/>
      <w:sz w:val="30"/>
      <w:szCs w:val="20"/>
      <w:lang w:eastAsia="ja-JP"/>
    </w:rPr>
  </w:style>
  <w:style w:type="character" w:customStyle="1" w:styleId="QuoteChar">
    <w:name w:val="Quote Char"/>
    <w:basedOn w:val="DefaultParagraphFont"/>
    <w:link w:val="Quote"/>
    <w:uiPriority w:val="1"/>
    <w:rsid w:val="004E38E9"/>
    <w:rPr>
      <w:i/>
      <w:iCs/>
      <w:color w:val="2F5496" w:themeColor="accent1" w:themeShade="BF"/>
      <w:sz w:val="30"/>
      <w:szCs w:val="20"/>
      <w:lang w:eastAsia="ja-JP"/>
    </w:rPr>
  </w:style>
  <w:style w:type="character" w:styleId="Hyperlink">
    <w:name w:val="Hyperlink"/>
    <w:basedOn w:val="DefaultParagraphFont"/>
    <w:uiPriority w:val="99"/>
    <w:unhideWhenUsed/>
    <w:rsid w:val="005E37EF"/>
    <w:rPr>
      <w:color w:val="0563C1" w:themeColor="hyperlink"/>
      <w:u w:val="single"/>
    </w:rPr>
  </w:style>
  <w:style w:type="character" w:customStyle="1" w:styleId="UnresolvedMention1">
    <w:name w:val="Unresolved Mention1"/>
    <w:basedOn w:val="DefaultParagraphFont"/>
    <w:uiPriority w:val="99"/>
    <w:semiHidden/>
    <w:unhideWhenUsed/>
    <w:rsid w:val="005E37EF"/>
    <w:rPr>
      <w:color w:val="808080"/>
      <w:shd w:val="clear" w:color="auto" w:fill="E6E6E6"/>
    </w:rPr>
  </w:style>
  <w:style w:type="paragraph" w:styleId="BalloonText">
    <w:name w:val="Balloon Text"/>
    <w:basedOn w:val="Normal"/>
    <w:link w:val="BalloonTextChar"/>
    <w:uiPriority w:val="99"/>
    <w:semiHidden/>
    <w:unhideWhenUsed/>
    <w:rsid w:val="00B40BC3"/>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40BC3"/>
    <w:rPr>
      <w:rFonts w:ascii="Lucida Grande" w:hAnsi="Lucida Grande"/>
      <w:sz w:val="18"/>
      <w:szCs w:val="18"/>
      <w:u w:color="0018E8"/>
    </w:rPr>
  </w:style>
  <w:style w:type="character" w:styleId="CommentReference">
    <w:name w:val="annotation reference"/>
    <w:basedOn w:val="DefaultParagraphFont"/>
    <w:uiPriority w:val="99"/>
    <w:semiHidden/>
    <w:unhideWhenUsed/>
    <w:rsid w:val="00B40BC3"/>
    <w:rPr>
      <w:sz w:val="18"/>
      <w:szCs w:val="18"/>
    </w:rPr>
  </w:style>
  <w:style w:type="paragraph" w:styleId="CommentText">
    <w:name w:val="annotation text"/>
    <w:basedOn w:val="Normal"/>
    <w:link w:val="CommentTextChar"/>
    <w:uiPriority w:val="99"/>
    <w:semiHidden/>
    <w:unhideWhenUsed/>
    <w:rsid w:val="00B40BC3"/>
    <w:rPr>
      <w:sz w:val="24"/>
    </w:rPr>
  </w:style>
  <w:style w:type="character" w:customStyle="1" w:styleId="CommentTextChar">
    <w:name w:val="Comment Text Char"/>
    <w:basedOn w:val="DefaultParagraphFont"/>
    <w:link w:val="CommentText"/>
    <w:uiPriority w:val="99"/>
    <w:semiHidden/>
    <w:rsid w:val="00B40BC3"/>
    <w:rPr>
      <w:rFonts w:ascii="Trebuchet MS" w:hAnsi="Trebuchet MS"/>
      <w:sz w:val="24"/>
      <w:szCs w:val="24"/>
      <w:u w:color="0018E8"/>
    </w:rPr>
  </w:style>
  <w:style w:type="paragraph" w:styleId="CommentSubject">
    <w:name w:val="annotation subject"/>
    <w:basedOn w:val="CommentText"/>
    <w:next w:val="CommentText"/>
    <w:link w:val="CommentSubjectChar"/>
    <w:uiPriority w:val="99"/>
    <w:semiHidden/>
    <w:unhideWhenUsed/>
    <w:rsid w:val="00B40BC3"/>
    <w:rPr>
      <w:b/>
      <w:bCs/>
      <w:sz w:val="20"/>
      <w:szCs w:val="20"/>
    </w:rPr>
  </w:style>
  <w:style w:type="character" w:customStyle="1" w:styleId="CommentSubjectChar">
    <w:name w:val="Comment Subject Char"/>
    <w:basedOn w:val="CommentTextChar"/>
    <w:link w:val="CommentSubject"/>
    <w:uiPriority w:val="99"/>
    <w:semiHidden/>
    <w:rsid w:val="00B40BC3"/>
    <w:rPr>
      <w:rFonts w:ascii="Trebuchet MS" w:hAnsi="Trebuchet MS"/>
      <w:b/>
      <w:bCs/>
      <w:sz w:val="20"/>
      <w:szCs w:val="20"/>
      <w:u w:color="0018E8"/>
    </w:rPr>
  </w:style>
  <w:style w:type="character" w:styleId="UnresolvedMention">
    <w:name w:val="Unresolved Mention"/>
    <w:basedOn w:val="DefaultParagraphFont"/>
    <w:uiPriority w:val="99"/>
    <w:semiHidden/>
    <w:unhideWhenUsed/>
    <w:rsid w:val="007E66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87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nuvelox.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nuvelox.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1047</Words>
  <Characters>5971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Jakuc</dc:creator>
  <cp:keywords/>
  <dc:description/>
  <cp:lastModifiedBy>Daria Jakuc</cp:lastModifiedBy>
  <cp:revision>5</cp:revision>
  <dcterms:created xsi:type="dcterms:W3CDTF">2017-09-05T21:29:00Z</dcterms:created>
  <dcterms:modified xsi:type="dcterms:W3CDTF">2017-09-06T02:10:00Z</dcterms:modified>
</cp:coreProperties>
</file>